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0" w:lineRule="atLeast"/>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定襄县行政许可事项清单（2022年版）</w:t>
      </w:r>
    </w:p>
    <w:p>
      <w:pPr>
        <w:pStyle w:val="2"/>
        <w:ind w:left="0" w:leftChars="0" w:firstLine="0" w:firstLineChars="0"/>
        <w:rPr>
          <w:rFonts w:hint="eastAsia"/>
          <w:sz w:val="32"/>
          <w:szCs w:val="32"/>
          <w:lang w:val="en-US" w:eastAsia="zh-CN"/>
        </w:rPr>
      </w:pPr>
      <w:r>
        <w:rPr>
          <w:rFonts w:hint="eastAsia" w:ascii="黑体" w:hAnsi="黑体" w:eastAsia="黑体" w:cs="黑体"/>
          <w:b w:val="0"/>
          <w:bCs w:val="0"/>
          <w:i w:val="0"/>
          <w:color w:val="auto"/>
          <w:kern w:val="0"/>
          <w:sz w:val="32"/>
          <w:szCs w:val="32"/>
          <w:u w:val="none"/>
          <w:lang w:val="en-US" w:eastAsia="zh-CN" w:bidi="ar"/>
        </w:rPr>
        <w:t>一、认领中央层面设定的行政许可事项241项</w:t>
      </w:r>
    </w:p>
    <w:tbl>
      <w:tblPr>
        <w:tblStyle w:val="5"/>
        <w:tblW w:w="15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7"/>
        <w:gridCol w:w="3130"/>
        <w:gridCol w:w="1455"/>
        <w:gridCol w:w="1325"/>
        <w:gridCol w:w="2482"/>
        <w:gridCol w:w="6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blHeader/>
          <w:jc w:val="center"/>
        </w:trPr>
        <w:tc>
          <w:tcPr>
            <w:tcW w:w="597"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sz w:val="20"/>
                <w:szCs w:val="20"/>
                <w:u w:val="none"/>
                <w:lang w:eastAsia="zh-CN"/>
              </w:rPr>
              <w:t>序号</w:t>
            </w:r>
          </w:p>
        </w:tc>
        <w:tc>
          <w:tcPr>
            <w:tcW w:w="313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800" w:firstLineChars="40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45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132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县主管部门</w:t>
            </w:r>
          </w:p>
        </w:tc>
        <w:tc>
          <w:tcPr>
            <w:tcW w:w="2482"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00" w:firstLineChars="30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县实施部门</w:t>
            </w:r>
          </w:p>
        </w:tc>
        <w:tc>
          <w:tcPr>
            <w:tcW w:w="673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200" w:firstLineChars="110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固定资产投资项目核准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（含国发〔2016〕72号文件规定的外商投资项目）</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省发展改革委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县发展和改革局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民办、中外合作开办中等及以下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学校和其他教育机构筹设审批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县教育科技局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中等及以下学校和其他教育机构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县教育科技局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《中共中央办公厅国务院办公厅印发〈关于进一步减轻义务教育阶段学生作业负担和校外培训负担的意见〉的通知》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sz w:val="20"/>
                <w:szCs w:val="20"/>
                <w:highlight w:val="none"/>
                <w:u w:val="none"/>
                <w:lang w:val="en-US" w:eastAsia="zh-CN"/>
              </w:rPr>
              <w:t>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从事文艺、体育等专业训练的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社会组织自行实施义务教育审批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省教育厅</w:t>
            </w:r>
          </w:p>
        </w:tc>
        <w:tc>
          <w:tcPr>
            <w:tcW w:w="1325" w:type="dxa"/>
            <w:shd w:val="clear" w:color="auto" w:fill="auto"/>
            <w:vAlign w:val="center"/>
          </w:tcPr>
          <w:p>
            <w:pPr>
              <w:ind w:left="800" w:hanging="800" w:hangingChars="400"/>
              <w:jc w:val="center"/>
              <w:rPr>
                <w:rFonts w:hint="eastAsia" w:ascii="仿宋_GB2312" w:hAnsi="仿宋_GB2312" w:eastAsia="仿宋_GB2312" w:cs="仿宋_GB2312"/>
                <w:i w:val="0"/>
                <w:color w:val="000000"/>
                <w:sz w:val="20"/>
                <w:szCs w:val="20"/>
                <w:highlight w:val="none"/>
                <w:u w:val="none"/>
                <w:lang w:val="en-US" w:eastAsia="zh-CN"/>
              </w:rPr>
            </w:pPr>
            <w:r>
              <w:rPr>
                <w:rFonts w:hint="eastAsia" w:ascii="仿宋_GB2312" w:hAnsi="仿宋_GB2312" w:eastAsia="仿宋_GB2312" w:cs="仿宋_GB2312"/>
                <w:i w:val="0"/>
                <w:color w:val="000000"/>
                <w:sz w:val="20"/>
                <w:szCs w:val="20"/>
                <w:highlight w:val="none"/>
                <w:u w:val="none"/>
                <w:lang w:val="en-US" w:eastAsia="zh-CN"/>
              </w:rPr>
              <w:t>县教育科技</w:t>
            </w:r>
          </w:p>
          <w:p>
            <w:pPr>
              <w:ind w:left="800" w:hanging="800" w:hangingChars="400"/>
              <w:jc w:val="center"/>
              <w:rPr>
                <w:rFonts w:hint="eastAsia" w:ascii="仿宋_GB2312" w:hAnsi="仿宋_GB2312" w:eastAsia="仿宋_GB2312" w:cs="仿宋_GB2312"/>
                <w:i w:val="0"/>
                <w:color w:val="000000"/>
                <w:sz w:val="20"/>
                <w:szCs w:val="20"/>
                <w:highlight w:val="none"/>
                <w:u w:val="none"/>
                <w:lang w:val="en-US" w:eastAsia="zh-CN"/>
              </w:rPr>
            </w:pPr>
            <w:r>
              <w:rPr>
                <w:rFonts w:hint="eastAsia" w:ascii="仿宋_GB2312" w:hAnsi="仿宋_GB2312" w:eastAsia="仿宋_GB2312" w:cs="仿宋_GB2312"/>
                <w:i w:val="0"/>
                <w:color w:val="000000"/>
                <w:sz w:val="20"/>
                <w:szCs w:val="20"/>
                <w:highlight w:val="none"/>
                <w:u w:val="none"/>
                <w:lang w:val="en-US" w:eastAsia="zh-CN"/>
              </w:rPr>
              <w:t>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lang w:eastAsia="zh-CN"/>
              </w:rPr>
            </w:pPr>
          </w:p>
          <w:p>
            <w:pPr>
              <w:pStyle w:val="2"/>
              <w:ind w:left="0" w:leftChars="0" w:firstLine="600" w:firstLineChars="300"/>
              <w:rPr>
                <w:rFonts w:hint="default"/>
                <w:lang w:val="en-US"/>
              </w:rPr>
            </w:pPr>
            <w:r>
              <w:rPr>
                <w:rFonts w:hint="eastAsia" w:ascii="仿宋_GB2312" w:hAnsi="仿宋_GB2312" w:eastAsia="仿宋_GB2312" w:cs="仿宋_GB2312"/>
                <w:i w:val="0"/>
                <w:color w:val="000000"/>
                <w:sz w:val="20"/>
                <w:szCs w:val="20"/>
                <w:highlight w:val="none"/>
                <w:u w:val="none"/>
                <w:lang w:val="en-US"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sz w:val="20"/>
                <w:szCs w:val="20"/>
                <w:highlight w:val="none"/>
                <w:u w:val="none"/>
                <w:lang w:val="en-US" w:eastAsia="zh-CN"/>
              </w:rPr>
              <w:t>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校车使用许可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省教育厅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县教育科技局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县政府（县审批局会同县公安局、县交通局承办）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教师资格认定</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县教育科技局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《教师资格条例》《国家职业资格目录（2021年版）》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适龄儿童、少年因身体状况</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需要延缓入学或者休学审批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县教育科技局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县教育科技局、乡（镇）政府</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民用枪支及枪支主要零部件、弹药配置许可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举行集会游行示威许可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公章刻制业特种行业许可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旅馆业特种行业许可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互联网上网服务营业场所信息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网络安全审核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举办焰火晚会及其他大型焰火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燃放活动许可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烟花爆竹道路运输许可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《公安部三局关于优化烟花爆竹道路运输许可审批进一步深化烟花爆竹“放管服改革工作的通知》（公治安明发〔2019〕218号）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民用爆炸物品购买许可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民用爆炸物品运输许可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剧毒化学品购买许可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剧毒化学品道路运输通行许可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放射性物品道路运输许可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运输危险化学品的车辆进入危险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化学品运输车辆限制通行区域审批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易制毒化学品购买许可（除第一类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中的药品类易制毒化学品外）</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易制毒化学品运输许可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金融机构营业场所和金库安全范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设施建设方案审批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金融机构营业场所和金库安全防范设施建设工程验收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机动车临时通行牌证核发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机动车检验合格标志核发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机动车驾驶证核发、审验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校车驾驶资格许可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非机动车登记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涉路施工交通安全审查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户口迁移审批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34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犬类准养证核发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普通护照签发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出入境通行证签发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内地居民前往港澳通行证、往来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港澳通行证及签注签发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大陆居民往来台湾通行证及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签注签发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39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台湾居民来往大陆通行证签发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社会团体成立、变更、注销登记及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修改章程核准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县行政审批局（县民政局前置审查）</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民办非企业单位成立、变更、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注销登记及修改章程核准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县行政审批局（县民政局前置审查）</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宗教活动场所法人成立、变更、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注销登记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县民政局（县宗教局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实施前置审查）</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43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慈善组织公开募捐资格审批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44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殡葬设施建设审批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left"/>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tabs>
                <w:tab w:val="left" w:pos="381"/>
                <w:tab w:val="center" w:pos="1317"/>
              </w:tabs>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ab/>
            </w:r>
            <w:r>
              <w:rPr>
                <w:rFonts w:hint="eastAsia" w:ascii="仿宋_GB2312" w:hAnsi="仿宋_GB2312" w:eastAsia="仿宋_GB2312" w:cs="仿宋_GB2312"/>
                <w:i w:val="0"/>
                <w:color w:val="000000"/>
                <w:sz w:val="20"/>
                <w:szCs w:val="20"/>
                <w:highlight w:val="none"/>
                <w:u w:val="none"/>
                <w:lang w:eastAsia="zh-CN"/>
              </w:rPr>
              <w:t>县政府、</w:t>
            </w:r>
            <w:r>
              <w:rPr>
                <w:rFonts w:hint="eastAsia" w:ascii="仿宋_GB2312" w:hAnsi="仿宋_GB2312" w:eastAsia="仿宋_GB2312" w:cs="仿宋_GB2312"/>
                <w:i w:val="0"/>
                <w:color w:val="000000"/>
                <w:sz w:val="20"/>
                <w:szCs w:val="20"/>
                <w:highlight w:val="none"/>
                <w:u w:val="none"/>
                <w:lang w:eastAsia="zh-CN"/>
              </w:rPr>
              <w:tab/>
            </w:r>
            <w:r>
              <w:rPr>
                <w:rFonts w:hint="eastAsia" w:ascii="仿宋_GB2312" w:hAnsi="仿宋_GB2312" w:eastAsia="仿宋_GB2312" w:cs="仿宋_GB2312"/>
                <w:i w:val="0"/>
                <w:color w:val="000000"/>
                <w:sz w:val="20"/>
                <w:szCs w:val="20"/>
                <w:highlight w:val="none"/>
                <w:u w:val="none"/>
                <w:lang w:eastAsia="zh-CN"/>
              </w:rPr>
              <w:t>县行政审批局（乡镇政府初审）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45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地名命名、更名审批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省民政厅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县民政局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46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中介机构从事代理记账业务审批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省财政厅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县财政局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职业培训学校筹设审批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县人社局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职业培训学校办学许可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both"/>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县人社局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00" w:firstLineChars="30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49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人力资源服务许可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县人社局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县人社局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《劳务派遣行政许可实施办法》（人力资源和社会保障部令第19号）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51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企业实行不定时工作制和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综合计算工时工作制审批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省人社厅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县人社局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u w:val="none"/>
                <w:lang w:val="en-US" w:eastAsia="zh-CN" w:bidi="ar"/>
              </w:rPr>
              <w:t xml:space="preserve"> 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开采矿产资源审批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法人或者其他组织需要利用属于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国家秘密的基础测绘成果审批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《国家测绘局关于印发〈基础测绘成果提供使用管理暂行办法〉的通知》（国测法字〔2006〕13号）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建设项目用地预审与选址意见书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00" w:firstLineChars="30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国有建设用地使用权出让后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土地使用权分割转让批准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乡（镇）村企业使用集体建设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用地审批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乡（镇）村公共设施、公益事业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使用集体建设用地审批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临时用地审批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59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建设用地、临时建设用地规划许可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开发未确定使用权的国有荒山、</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荒地、荒滩从事生产审查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建设工程、临时建设工程规划许可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乡村建设规划许可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一般建设项目环境影响评价审批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县生态环境局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64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核与辐射类建设项目环境影响评价审批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省生态环境厅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县生态环境局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65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江河、湖泊新建、改建或者扩大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排污口审批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省生态环境厅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县生态环境局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忻州市生态环境局定襄分局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《深化党和国家机构改革方案》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危险废物经营许可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县生态环境局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放射性核素排放许可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县生态环境局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highlight w:val="none"/>
                <w:u w:val="none"/>
                <w:lang w:eastAsia="zh-CN"/>
              </w:rPr>
              <w:t>忻州市生态环境局定襄分局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《建筑工程施工许可管理办法》（住房和城乡建设部令第52号）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69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商品房预售许可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关闭、闲置、拆除城市环境卫生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拆除环境卫生设施许可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从事城市生活垃圾经营性清扫、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收集、运输、处理服务审批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城市建筑垃圾处置核准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城镇污水排入排水管网许可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拆除、改动、迁移城市公共供水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拆除、改动城镇排水与污水处理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由于工程施工、设备维修等原因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确需停止供水的审批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78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燃气经营许可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79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燃气经营者改动市政燃气设施审批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市政设施建设类审批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特殊车辆在城市道路上行驶审批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改变绿化规划、绿化用地的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使用性质审批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工程建设涉及城市绿地、树木审批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84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历史建筑实施原址保护审批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85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历史文化街区、名镇、名村核心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保护范围内拆除历史建筑以外的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建筑物、构筑物或者其他设施审批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86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历史建筑外部修缮装饰、添加设施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以及改变历史建筑的结构或者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使用性质审批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89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在村庄、集镇规划区内公共场所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修建临时建筑等设施审批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乡（镇）政府</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设置大型户外广告及在城市建筑物、设施上悬挂、张贴宣传品审批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临时性建筑物搭建、堆放物料、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占道施工审批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建筑起重机械使用登记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公路建设项目设计文件审批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公路建设项目施工许可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《公路建设市场管理办法》（交通运输部令2015年第11号）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公路建设项目竣工验收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96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公路超限运输许可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97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涉路施工许可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更新采伐护路林审批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100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道路旅客运输站经营许可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101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道路货物运输经营许可（除使用4500千克及以下普通货运车辆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从事普通货运经营外）</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《道路货物运输及站场管理规定》（交通运输部令2019年第17号）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102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出租汽车经营许可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出租汽车车辆运营证核发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水运建设项目设计文件审批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通航建筑物运行方案审批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县交通局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《通航建筑物运行管理办法》（交通运输部令2019年第6号）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航道通航条件影响评价审核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《航道通航条件影响评价审核管理办法》（交通运输部令2019年第35号）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水运工程建设项目竣工验收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《港口工程建设管理规定》（交通运输部令2019年第32号）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内河专用航标设置、撤除、位置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移动和其他状况改变审批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109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海域或者内河通航水域、岸线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施工作业许可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110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船舶国籍登记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县交通局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111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设置或者撤销内河渡口审批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县交通局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112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船员适任证书核发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县交通局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113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占用国防交通控制范围土地审批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省交通厅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u w:val="none"/>
                <w:lang w:eastAsia="zh-CN"/>
              </w:rPr>
              <w:t>县交通局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县交通局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水利基建项目初步设计文件审批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洪水影响评价类审批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河道管理范围内特定活动审批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河道采砂许可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119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生产建设项目水土保持方案审批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农村集体经济组织修建水库审批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121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城市建设填堵水域、废除围堤审批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县政府（县审批局承办）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占用农业灌溉水源、灌排工程设施审批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123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利用堤顶、戗台兼做公路审批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124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坝顶兼做公路审批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蓄滞洪区避洪设施建设审批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126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大坝管理和保护范围内修建码头、渔塘许可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省水利厅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县水利局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129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农作物种子生产经营许可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《转基因棉花种子生产经营许可规定》（农业部公告第2436号）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食用菌菌种生产经营许可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《食用菌菌种管理办法》（农业部令2006年第62号）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131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使用低于国家或地方规定的种用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标准的农作物种子审批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县政府（县行政审批局承办）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种畜禽生产经营许可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蚕种生产经营许可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县行政审批局（受理）</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《蚕种管理办法》（农业部令2006年第68号）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134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农业植物检疫证书核发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135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农业植物产地检疫合格证签发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农业野生植物采集、出售、收购、野外考察审批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400" w:hanging="400" w:hangingChars="20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（采集国家二级保护野生植物）县农业农村局（受理）</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137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动物及动物产品检疫合格证核发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《动物检疫管理办法》（农业部令2010年第6号）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138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动物防疫条件合格证核发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139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《动物诊疗机构管理办法》（农业部令2008年第19号）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生鲜乳收购站许可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生鲜乳准运证明核发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拖拉机和联合收割机驾驶证核发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144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工商企业等社会资本通过流转取得土地经营权审批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省农业农村厅</w:t>
            </w:r>
          </w:p>
        </w:tc>
        <w:tc>
          <w:tcPr>
            <w:tcW w:w="1325" w:type="dxa"/>
            <w:shd w:val="clear" w:color="auto" w:fill="auto"/>
            <w:vAlign w:val="center"/>
          </w:tcPr>
          <w:p>
            <w:pPr>
              <w:ind w:left="0" w:leftChars="0" w:firstLine="0" w:firstLineChars="0"/>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pStyle w:val="2"/>
              <w:ind w:left="0" w:leftChars="0" w:firstLine="0" w:firstLineChars="0"/>
              <w:jc w:val="left"/>
              <w:rPr>
                <w:rFonts w:hint="eastAsia" w:ascii="仿宋" w:hAnsi="仿宋" w:eastAsia="仿宋" w:cs="仿宋"/>
                <w:sz w:val="20"/>
                <w:szCs w:val="20"/>
                <w:lang w:eastAsia="zh-CN"/>
              </w:rPr>
            </w:pPr>
            <w:r>
              <w:rPr>
                <w:rFonts w:hint="eastAsia" w:ascii="仿宋_GB2312" w:hAnsi="仿宋_GB2312" w:eastAsia="仿宋_GB2312" w:cs="仿宋_GB2312"/>
                <w:i w:val="0"/>
                <w:color w:val="000000"/>
                <w:kern w:val="2"/>
                <w:sz w:val="20"/>
                <w:szCs w:val="20"/>
                <w:u w:val="none"/>
                <w:lang w:val="en-US" w:eastAsia="zh-CN" w:bidi="ar-SA"/>
              </w:rPr>
              <w:t>县政府（农业农村局承办）、乡（镇）政府</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农村村民宅基地审批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乡（镇）政府</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渔业船舶船员证书核发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400" w:hanging="400" w:hangingChars="20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00" w:firstLineChars="30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《中华人民共和国渔业船员管理办法》（农业部令2014年第4号）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水产苗种生产经营审批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县行政审批局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水域滩涂养殖证核发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149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渔业船网工具指标审批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专用航标的设置、撤除、位置移动和其他状况改变审批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渔港内新建、改建、扩建设施或者其他水上、水下施工审批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渔港内易燃、易爆、有毒等危险品装卸审批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渔业船舶国籍登记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县农业农村局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《中华人民共和国渔业船舶登记办法》（农业部令2012年第8号）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155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文艺表演团体设立审批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省文旅厅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both"/>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00" w:firstLineChars="300"/>
              <w:jc w:val="both"/>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《营业性演出管理条例实施细则》（文化部令第47号）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157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娱乐场所经营活动审批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158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互联网上网服务营业场所筹建审批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省文旅厅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159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互联网上网服务经营活动审批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省文旅厅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饮用水供水单位卫生许可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公共场所卫生许可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危害预评价报告审核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防护设施竣工验收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医疗机构设置审批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医疗机构执业登记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母婴保健技术服务机构执业许可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《母婴保健专项技术服务许可及人员资格管理办法》（国家卫生健康委令第7号）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单采血浆站设置审批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县卫生健康和体育局(初审)</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169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《医师执业注册管理办法》（国家卫生和计划生育委员会令第13号）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乡村医生执业注册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母婴保健服务人员资格认定</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《母婴保健专项技术服务许可及人员资格管理办法》（国家卫生健康委令第7号）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护士执业注册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173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确有专长的中医医师资格认定</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县卫生健康和体育局受理并逐级上报</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174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确有专长的中医医师执业注册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县卫生健康和体育局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中医医疗机构设置审批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highlight w:val="none"/>
                <w:u w:val="none"/>
                <w:lang w:eastAsia="zh-CN"/>
              </w:rPr>
              <w:t>县卫生健康和体育局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中医医疗机构执业登记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highlight w:val="none"/>
                <w:u w:val="none"/>
                <w:lang w:eastAsia="zh-CN"/>
              </w:rPr>
              <w:t>县卫生健康和体育局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石油天然气建设项目安全设施设计审查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县应急局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县应急局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金属冶炼建设项目安全设施设计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县应急局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县应急局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《冶金企业和有色金属企业安全生产规定》（国家安全生产监督管理总局令第91号）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179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县应急局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县应急局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《危险化学品经营许可证管理办法》（国家安全生产监督管理总局令第55号，国家安全生产监督管理总局令第79号修正）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矿山建设项目安全设施设计审查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县应急局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县应急局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《煤矿建设项目安全设施监察规定》（国家安全生产监督管理总局令第6号）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181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公众聚集场所投入使用、营业前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消防安全检查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省消防救援总队</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县消防队</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县消防队</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食品添加剂生产许可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特种设备安全管理和作业人员资格认定</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《特种设备作业人员监督管理办法》（国家质量监督检验检疫总局令第140号）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计量标准器具核准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承担国家法定计量检定机构任务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授权</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企业登记注册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《中华人民共和国公司登记管理条例》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《中华人民共和国企业法人登记管理条例》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《中华人民共和国合伙企业登记管理办法》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189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个体工商户登记注册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《个体工商户条例》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农民专业合作社登记注册</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《农民专业合作社登记管理条例》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191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乡镇设立广播电视站和机关、部队、团体、企业事业单位设立有线广播电视站审批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省广电局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《广播电视站审批管理暂行规定》（国家广播电影电视总局令第32号）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192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有线广播电视传输覆盖网工程验收审核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省广电局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193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卫星电视广播地面接收设施安装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服务许可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省广电局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《卫星电视广播地面接收设施安装服务暂行办法》（国家广播电影电视总局令第60号）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194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设置卫星电视广播地面接收设施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省广电局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举办健身气功活动及设立站点审批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highlight w:val="none"/>
                <w:u w:val="none"/>
                <w:lang w:eastAsia="zh-CN"/>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高危险性体育项目经营许可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highlight w:val="none"/>
                <w:u w:val="none"/>
                <w:lang w:eastAsia="zh-CN"/>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197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临时占用公共体育设施审批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省体育局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县卫健体局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县能源局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199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在电力设施周围或者电力设施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保护区内进行可能危及电力设施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安全作业审批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县能源局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固定资产投资项目核准</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省能源局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u w:val="none"/>
                <w:lang w:eastAsia="zh-CN"/>
              </w:rPr>
              <w:t>县能源局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县政府（县行政审批局承办）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新建不能满足管道保护要求的石油天然气管道防护方案审批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省能源局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县能源局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县能源局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可能影响石油天然气管道保护的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施工作业审批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省能源局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u w:val="none"/>
                <w:lang w:eastAsia="zh-CN"/>
              </w:rPr>
              <w:t>县能源局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sz w:val="20"/>
                <w:szCs w:val="20"/>
                <w:highlight w:val="none"/>
                <w:u w:val="none"/>
                <w:lang w:eastAsia="zh-CN"/>
              </w:rPr>
              <w:t>县能源局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建设工程文物保护许可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文物保护单位原址保护措施审批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核定为文物保护单位的属于国家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所有的纪念建筑物或者古建筑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改变用途审批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县政府（县行政审批局承办）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不可移动文物修缮审批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非国有文物收藏单位和其他单位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借用国有馆藏文物审批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208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博物馆处理不够入藏标准、无保存价值的文物或标本审批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省文物局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应建防空地下室的民用建筑项目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报建审批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《中共中央国务院中央军委关于加强人民防空工作的决定》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拆除人民防空工程审批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县住建局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林草种子生产经营许可证核发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林草植物检疫证书核发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建设项目使用林地及在森林和野生动物类型国家级自然保护区建设审批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县林业局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建设项目使用草原审批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县林业局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林木采伐许可证核发</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从事营利性治沙活动许可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县林业局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猎捕陆生野生动物审批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防火区野外用火审批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县政府（县林业局承办）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219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防火区爆破、勘察和施工等活动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县林业局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进入森林高火险区、草原防火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管制区审批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县政府（县林业局承办）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工商企业等社会资本通过流转取得林地经营权审批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sz w:val="20"/>
                <w:szCs w:val="20"/>
                <w:u w:val="none"/>
                <w:lang w:eastAsia="zh-CN"/>
              </w:rPr>
              <w:t>县林业局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县政府（县林业局承办）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222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药品零售企业筹建审批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省药监局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223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药品零售企业经营许可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省药监局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224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科研和教学用毒性药品购买审批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省药监局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县市场局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县市场局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延期移交档案审批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省档案局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县档案局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县档案局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事业单位登记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省委编办</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县委编办</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县委编办</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电影放映单位设立审批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省电影局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县新闻出版局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《外商投资电影院暂行规定》（国家广播电影电视总局、商务部、文化部令第21号）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228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出版物零售业务经营许可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省新闻出版局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sz w:val="20"/>
                <w:szCs w:val="20"/>
                <w:u w:val="none"/>
                <w:lang w:eastAsia="zh-CN"/>
              </w:rPr>
              <w:t>县新闻出版局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县新闻出版局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229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宗教活动场所筹备设立审批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200" w:firstLineChars="10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00" w:firstLineChars="20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县宗教局（初审）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宗教活动场所设立、变更、注销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登记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宗教活动场所内改建或者新建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建筑物许可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县宗教局（初审）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232</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宗教临时活动地点审批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233</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宗教团体、宗教院校、宗教活动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场所接受境外捐赠审批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highlight w:val="none"/>
                <w:u w:val="none"/>
                <w:lang w:val="en-US" w:eastAsia="zh-CN" w:bidi="ar-SA"/>
              </w:rPr>
            </w:pPr>
            <w:r>
              <w:rPr>
                <w:rFonts w:hint="eastAsia" w:ascii="仿宋_GB2312" w:hAnsi="仿宋_GB2312" w:eastAsia="仿宋_GB2312" w:cs="仿宋_GB2312"/>
                <w:i w:val="0"/>
                <w:color w:val="000000"/>
                <w:kern w:val="2"/>
                <w:sz w:val="20"/>
                <w:szCs w:val="20"/>
                <w:highlight w:val="none"/>
                <w:u w:val="none"/>
                <w:lang w:val="en-US" w:eastAsia="zh-CN" w:bidi="ar-SA"/>
              </w:rPr>
              <w:t>234</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华侨回国定居审批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省侨办</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县侨联</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lang w:eastAsia="zh-CN"/>
              </w:rPr>
            </w:pPr>
            <w:r>
              <w:rPr>
                <w:rFonts w:hint="eastAsia" w:ascii="仿宋_GB2312" w:hAnsi="仿宋_GB2312" w:eastAsia="仿宋_GB2312" w:cs="仿宋_GB2312"/>
                <w:i w:val="0"/>
                <w:color w:val="000000"/>
                <w:sz w:val="20"/>
                <w:szCs w:val="20"/>
                <w:highlight w:val="none"/>
                <w:u w:val="none"/>
                <w:lang w:eastAsia="zh-CN"/>
              </w:rPr>
              <w:t>县侨联（初审）</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highlight w:val="none"/>
                <w:u w:val="none"/>
                <w:lang w:val="en-US" w:eastAsia="zh-CN" w:bidi="ar"/>
              </w:rPr>
            </w:pPr>
            <w:r>
              <w:rPr>
                <w:rFonts w:hint="eastAsia" w:ascii="仿宋_GB2312" w:hAnsi="仿宋_GB2312" w:eastAsia="仿宋_GB2312" w:cs="仿宋_GB2312"/>
                <w:i w:val="0"/>
                <w:color w:val="000000"/>
                <w:kern w:val="0"/>
                <w:sz w:val="20"/>
                <w:szCs w:val="20"/>
                <w:highlight w:val="none"/>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《国务院侨办、公安部、外交部关于印发〈华侨回国定居办理工作规定〉的通知》（国侨发〔2013〕18号）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235</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增值税防伪税控系统最高开票限额审批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省税务局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县税务局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县税务局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236</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雷电防护装置设计审核</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县气象局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237</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雷电防护装置竣工验收</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县气象局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238</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升放无人驾驶自由气球或者系留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气球活动审批</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县气象局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eastAsia="zh-CN"/>
              </w:rPr>
              <w:t>县行政审批局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《通用航空飞行管制条例》《国务院关于第六批取消和调整行政审批项目的决定》（国发〔2012〕52号）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239</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银行账户开户许可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人行太原中心支行</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人行定襄县支行</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人行定襄县支行</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240</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国库集中收付代理银行资格认定</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人行太原中心支行</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人行定襄县支行</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人行定襄县支行</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jc w:val="center"/>
        </w:trPr>
        <w:tc>
          <w:tcPr>
            <w:tcW w:w="5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241</w:t>
            </w:r>
          </w:p>
        </w:tc>
        <w:tc>
          <w:tcPr>
            <w:tcW w:w="31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烟草专卖零售许可</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山西烟草专卖局</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县烟草专卖局</w:t>
            </w:r>
          </w:p>
        </w:tc>
        <w:tc>
          <w:tcPr>
            <w:tcW w:w="24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县烟草专卖局</w:t>
            </w:r>
          </w:p>
        </w:tc>
        <w:tc>
          <w:tcPr>
            <w:tcW w:w="6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《中华人民共和国烟草专卖法实施条例》</w:t>
            </w:r>
          </w:p>
        </w:tc>
      </w:tr>
    </w:tbl>
    <w:p>
      <w:pPr>
        <w:pStyle w:val="2"/>
        <w:ind w:left="0" w:leftChars="0" w:firstLine="640" w:firstLineChars="200"/>
        <w:rPr>
          <w:rFonts w:hint="eastAsia" w:ascii="黑体" w:hAnsi="黑体" w:eastAsia="黑体" w:cs="黑体"/>
          <w:b w:val="0"/>
          <w:bCs w:val="0"/>
          <w:i w:val="0"/>
          <w:color w:val="auto"/>
          <w:kern w:val="0"/>
          <w:sz w:val="32"/>
          <w:szCs w:val="32"/>
          <w:u w:val="none"/>
          <w:lang w:val="en-US" w:eastAsia="zh-CN" w:bidi="ar"/>
        </w:rPr>
        <w:sectPr>
          <w:footerReference r:id="rId3" w:type="default"/>
          <w:pgSz w:w="16838" w:h="11906" w:orient="landscape"/>
          <w:pgMar w:top="1440" w:right="1803" w:bottom="1440" w:left="1803" w:header="851" w:footer="992" w:gutter="0"/>
          <w:pgNumType w:fmt="decimal" w:start="8"/>
          <w:cols w:space="425" w:num="1"/>
          <w:docGrid w:type="lines" w:linePitch="312" w:charSpace="0"/>
        </w:sectPr>
      </w:pPr>
    </w:p>
    <w:p>
      <w:pPr>
        <w:pStyle w:val="2"/>
        <w:numPr>
          <w:ilvl w:val="0"/>
          <w:numId w:val="1"/>
        </w:numPr>
        <w:ind w:left="0" w:leftChars="0" w:firstLine="640" w:firstLineChars="200"/>
        <w:rPr>
          <w:rFonts w:hint="eastAsia" w:ascii="黑体" w:hAnsi="黑体" w:eastAsia="黑体" w:cs="黑体"/>
          <w:b w:val="0"/>
          <w:bCs w:val="0"/>
          <w:i w:val="0"/>
          <w:color w:val="auto"/>
          <w:kern w:val="0"/>
          <w:sz w:val="32"/>
          <w:szCs w:val="32"/>
          <w:u w:val="none"/>
          <w:lang w:val="en-US" w:eastAsia="zh-CN" w:bidi="ar"/>
        </w:rPr>
      </w:pPr>
      <w:r>
        <w:rPr>
          <w:rFonts w:hint="eastAsia" w:ascii="黑体" w:hAnsi="黑体" w:eastAsia="黑体" w:cs="黑体"/>
          <w:b w:val="0"/>
          <w:bCs w:val="0"/>
          <w:i w:val="0"/>
          <w:color w:val="auto"/>
          <w:kern w:val="0"/>
          <w:sz w:val="32"/>
          <w:szCs w:val="32"/>
          <w:u w:val="none"/>
          <w:lang w:val="en-US" w:eastAsia="zh-CN" w:bidi="ar"/>
        </w:rPr>
        <w:t>根据地方性法规设定的行政许可事项2项</w:t>
      </w:r>
    </w:p>
    <w:p>
      <w:pPr>
        <w:numPr>
          <w:ilvl w:val="0"/>
          <w:numId w:val="0"/>
        </w:numPr>
        <w:rPr>
          <w:rFonts w:hint="eastAsia"/>
          <w:lang w:val="en-US" w:eastAsia="zh-CN"/>
        </w:rPr>
      </w:pPr>
    </w:p>
    <w:tbl>
      <w:tblPr>
        <w:tblStyle w:val="5"/>
        <w:tblpPr w:leftFromText="180" w:rightFromText="180" w:vertAnchor="text" w:horzAnchor="page" w:tblpX="1364" w:tblpY="320"/>
        <w:tblOverlap w:val="never"/>
        <w:tblW w:w="14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2173"/>
        <w:gridCol w:w="1397"/>
        <w:gridCol w:w="1478"/>
        <w:gridCol w:w="2718"/>
        <w:gridCol w:w="6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9"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2173"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397"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147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县主管部门</w:t>
            </w:r>
          </w:p>
        </w:tc>
        <w:tc>
          <w:tcPr>
            <w:tcW w:w="271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县实施部门</w:t>
            </w:r>
          </w:p>
        </w:tc>
        <w:tc>
          <w:tcPr>
            <w:tcW w:w="6393"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21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城市公共汽（电）车经营许可</w:t>
            </w:r>
          </w:p>
        </w:tc>
        <w:tc>
          <w:tcPr>
            <w:tcW w:w="13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14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27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6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 （2015年5月28日山西省第十二届人民代表大会常务委员会第二十次会议通过，自2015年10月1日起施行）第十四条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21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城市公共汽（电）车车辆营运证</w:t>
            </w:r>
          </w:p>
        </w:tc>
        <w:tc>
          <w:tcPr>
            <w:tcW w:w="13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147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27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县政府（县行政审批局承办）</w:t>
            </w:r>
          </w:p>
        </w:tc>
        <w:tc>
          <w:tcPr>
            <w:tcW w:w="6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《山西省城市公共客运条例》（2015年5月28日山西省第十二届人民代表大会常务委员会第二十次会议通过，自2015年10月1日起施行） 第十四条 </w:t>
            </w:r>
          </w:p>
        </w:tc>
      </w:tr>
    </w:tbl>
    <w:p>
      <w:pPr>
        <w:pStyle w:val="2"/>
        <w:ind w:left="0" w:leftChars="0" w:firstLine="0" w:firstLineChars="0"/>
      </w:pPr>
    </w:p>
    <w:sectPr>
      <w:pgSz w:w="16838" w:h="11906" w:orient="landscape"/>
      <w:pgMar w:top="1587" w:right="1984" w:bottom="1474" w:left="209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3635375</wp:posOffset>
              </wp:positionH>
              <wp:positionV relativeFrom="paragraph">
                <wp:posOffset>-126365</wp:posOffset>
              </wp:positionV>
              <wp:extent cx="781685" cy="272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1685" cy="272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86.25pt;margin-top:-9.95pt;height:21.45pt;width:61.55pt;mso-position-horizontal-relative:margin;z-index:251659264;mso-width-relative:page;mso-height-relative:page;" filled="f" stroked="f" coordsize="21600,21600" o:gfxdata="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OWrsNkAAAAKAQAADwAAAAAAAAABACAAAAAiAAAAZHJzL2Rv&#10;d25yZXYueG1sUEsBAhQAFAAAAAgAh07iQKlTYto5AgAAYQQAAA4AAAAAAAAAAQAgAAAAKAEAAGRy&#10;cy9lMm9Eb2MueG1sUEsFBgAAAAAGAAYAWQEAANMFAAAAAA==&#10;">
              <v:fill on="f" focussize="0,0"/>
              <v:stroke on="f" weight="0.5pt"/>
              <v:imagedata o:title=""/>
              <o:lock v:ext="edit" aspectratio="f"/>
              <v:textbox inset="0mm,0mm,0mm,0mm">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75235F"/>
    <w:multiLevelType w:val="singleLevel"/>
    <w:tmpl w:val="6D7523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BFEFC508"/>
    <w:rsid w:val="01482600"/>
    <w:rsid w:val="02EB5A2B"/>
    <w:rsid w:val="059F18DB"/>
    <w:rsid w:val="0C5D1DD0"/>
    <w:rsid w:val="11900717"/>
    <w:rsid w:val="16325F65"/>
    <w:rsid w:val="17CC5131"/>
    <w:rsid w:val="1AA87DFA"/>
    <w:rsid w:val="1CC86994"/>
    <w:rsid w:val="1E6C6506"/>
    <w:rsid w:val="1F3C107D"/>
    <w:rsid w:val="1F901C47"/>
    <w:rsid w:val="219F1011"/>
    <w:rsid w:val="21C562B1"/>
    <w:rsid w:val="23CE6916"/>
    <w:rsid w:val="352F02C8"/>
    <w:rsid w:val="360573E4"/>
    <w:rsid w:val="364F2521"/>
    <w:rsid w:val="36F331C1"/>
    <w:rsid w:val="399F4397"/>
    <w:rsid w:val="3AC8206F"/>
    <w:rsid w:val="3D0F585B"/>
    <w:rsid w:val="426F7490"/>
    <w:rsid w:val="44866167"/>
    <w:rsid w:val="49011DD8"/>
    <w:rsid w:val="50015B61"/>
    <w:rsid w:val="54227EFE"/>
    <w:rsid w:val="544E54DD"/>
    <w:rsid w:val="565B5CF3"/>
    <w:rsid w:val="575B6D0B"/>
    <w:rsid w:val="5A634B05"/>
    <w:rsid w:val="5A990F1E"/>
    <w:rsid w:val="5C42488A"/>
    <w:rsid w:val="61043C15"/>
    <w:rsid w:val="637206CA"/>
    <w:rsid w:val="663269A5"/>
    <w:rsid w:val="671063BE"/>
    <w:rsid w:val="6B424C67"/>
    <w:rsid w:val="6BE566A3"/>
    <w:rsid w:val="773005E5"/>
    <w:rsid w:val="77977D40"/>
    <w:rsid w:val="78785B40"/>
    <w:rsid w:val="78801F4C"/>
    <w:rsid w:val="792C6F3B"/>
    <w:rsid w:val="79B97133"/>
    <w:rsid w:val="7C3310A4"/>
    <w:rsid w:val="7E142623"/>
    <w:rsid w:val="7F8E5879"/>
    <w:rsid w:val="BFEFC508"/>
    <w:rsid w:val="C7BF30C9"/>
    <w:rsid w:val="FFF9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15551</Words>
  <Characters>16220</Characters>
  <Lines>0</Lines>
  <Paragraphs>0</Paragraphs>
  <TotalTime>146</TotalTime>
  <ScaleCrop>false</ScaleCrop>
  <LinksUpToDate>false</LinksUpToDate>
  <CharactersWithSpaces>16227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2022-09-05T20:13:00Z</dcterms:created>
  <dc:creator>baixin</dc:creator>
  <cp:lastModifiedBy>任勇</cp:lastModifiedBy>
  <cp:lastPrinted>2022-12-14T03:39:00Z</cp:lastPrinted>
  <dcterms:modified xsi:type="dcterms:W3CDTF">2022-12-28T11:50:23Z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D6404D96C3654119AF2D24AB4F364B60</vt:lpwstr>
  </property>
</Properties>
</file>