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定襄经济技术开发区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定襄经济技术开发区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在县委、县政府的正确领导下，严格按照中央、省、市、县工作部署要求，为切实做好政府信息公开工作，提高信息公开工作质量和工作透明度，现公布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定襄经济技术开发区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（以下简称开发区）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年政府信息公开工作年度报告。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习近平新时代中国特色社会主义思想为指导，全面贯彻党的二十大精神，按照县委、县政府关于政务公开工作的部署要求，坚持以“公开为常态，不公开为例外”，坚持以服务中心、方便群众为立足点，规范政府信息主动公开和依申请公开，不断提升政务信息公开质量和效率，依法、及时、准确地公开了相关政府信息，推进政府信息公开工作深入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（一）加强组织领导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成立政务公开工作领导小组，并根据人员分工变动情况，及时调整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信息公开工作领导小组。定期召开政务公开会议，对政务公开工作进行指导、协调、通报，为推进开发区政府信息化提供了有力的组织保证。将政府信息公开工作与各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室部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的日常工作有机结合，不断强化政务公开机制建设，确保信息公开工作规范、高效开展。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（二）主动公开信息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落实政务公开网站集约化建设有关要求，有效发挥了网站政务公开第一平台作用。并及时对公开内容进行更新和充实，做到全面真实、及时准确、重点突出。加强与宣传、网信等部门以及新闻媒体的沟通联系，畅通媒体采访渠道，更好地发挥新闻媒体的公开平台作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通过网站、报纸、微信、宣传栏等多种途径主动公开政府信息153条，其中政府网站公开政府信息数73条，政务微信公开政府信息数53条，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方式公开政府信息数27条。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共收到依申请公开0件。2023年，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将按照政府信息公开申请办理规程，严格落实办理责任、程序、时限，提高办理质效。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（四）加强公开平台建设维护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年度政务公开要点，对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门户网站栏目建设进行了优化完善，做到“应公开尽公开”，进一步充实了政府信息公开栏目设置。持续强化平台安全防护，全年未发生重大安全问题。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（五）强化监督保障措施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信息公开“三级”审查制度，加强内容审查和保密审查，保障信息公开的严肃性、及时性、准确性和权威性。将政务公开工作纳入年度工作目标，对政府信息公开工作进行统一安排、部署和检查，对政府信息公开内容、公开效果、群众满意度和投诉处理落实情况进行监督，并及时对发现的问题进行整改，强化监督检查，进一步保障政府信息公开工作落到实处及年度目标的完成。今年以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未收到上级主管部门下发的有关政府信息公开督促整改、责任追究的情况。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条。其中政府网站公开政府信息数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条，政务微信公开政府信息数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信息公开工作虽取得了一定成效，但在信息公开质量、公开平台建设等方面还存在不足。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上述问题，我们采取了以下措施：一是持续抓好《条例》的宣传贯彻，组织学习、压实责任，加强业务培训，努力提高信息公开工作人员专业素质，指导依法依规开展依申请公开工作，全面提升我区信息公开水平；二是拓宽公开渠道。通过网站、微信、报刊等多种方式加大信息公开力度，确保信息公开更透明、更畅通，提高政府信息公开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其他需要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1．政府信息处理费收取情况。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年我区不存在政府信息处理费收取情况。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2．政务公开工作要点落实情况。一直以来，我区把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定襄县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人民政府门户网站作为我区信息公开的主要载体和第一平台。除了按要求把我区相关信息公开到县政府网站，我们还通过微信公众号“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定襄经济技术开发区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”等平台积极报送信息。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47CDFB-398E-4EFD-B504-560AEC7C5C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4D2CD3-28D1-4D33-991A-8F21D0A408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0A91243-AEE0-4D74-BD72-04A6B3E326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3DC6F49-DB44-4BB8-BF09-7E3FCC2BC54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A76B872-4650-48FF-AC6D-816012FCA5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00000000"/>
    <w:rsid w:val="0ABF11D4"/>
    <w:rsid w:val="0E5D5FEF"/>
    <w:rsid w:val="1B1C0541"/>
    <w:rsid w:val="33501C21"/>
    <w:rsid w:val="37293F82"/>
    <w:rsid w:val="39682060"/>
    <w:rsid w:val="3DC000B7"/>
    <w:rsid w:val="57E17F59"/>
    <w:rsid w:val="58C25617"/>
    <w:rsid w:val="6E3C64A7"/>
    <w:rsid w:val="7DE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2024-01-16T03:19:00Z</dcterms:created>
  <dc:creator>king</dc:creator>
  <cp:lastModifiedBy>任勇</cp:lastModifiedBy>
  <dcterms:modified xsi:type="dcterms:W3CDTF">2024-01-23T04:44:46Z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79B46D87143C4181B16FA4D06B36C9D0_12</vt:lpwstr>
  </property>
</Properties>
</file>